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2DE" w:rsidRPr="0056675C" w:rsidRDefault="00EC6D0B" w:rsidP="005667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675C">
        <w:rPr>
          <w:rFonts w:ascii="Times New Roman" w:hAnsi="Times New Roman" w:cs="Times New Roman"/>
          <w:sz w:val="24"/>
          <w:szCs w:val="24"/>
        </w:rPr>
        <w:t>Методика предоставления субсидий из бюджета Ханты-Мансийского автономного округа - Югры бюджетам муниципальных образований Ханты-Мансийского автономного округа - Югры в целях софинансирования муниципальных</w:t>
      </w:r>
    </w:p>
    <w:p w:rsidR="00D052DE" w:rsidRPr="0056675C" w:rsidRDefault="00EC6D0B" w:rsidP="005667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675C">
        <w:rPr>
          <w:rFonts w:ascii="Times New Roman" w:hAnsi="Times New Roman" w:cs="Times New Roman"/>
          <w:sz w:val="24"/>
          <w:szCs w:val="24"/>
        </w:rPr>
        <w:t xml:space="preserve">программ (подпрограмм) формирования современной городской среды </w:t>
      </w:r>
    </w:p>
    <w:p w:rsidR="00EC6D0B" w:rsidRPr="0056675C" w:rsidRDefault="00EC6D0B" w:rsidP="005667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C6D0B" w:rsidRPr="0056675C" w:rsidRDefault="00EC6D0B" w:rsidP="005667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6675C">
        <w:rPr>
          <w:rFonts w:ascii="Times New Roman" w:hAnsi="Times New Roman" w:cs="Times New Roman"/>
          <w:sz w:val="24"/>
          <w:szCs w:val="24"/>
        </w:rPr>
        <w:t>(утверждена постановлением Правительства Ханты-Мансийс</w:t>
      </w:r>
      <w:r w:rsidR="00656209" w:rsidRPr="0056675C">
        <w:rPr>
          <w:rFonts w:ascii="Times New Roman" w:hAnsi="Times New Roman" w:cs="Times New Roman"/>
          <w:sz w:val="24"/>
          <w:szCs w:val="24"/>
        </w:rPr>
        <w:t xml:space="preserve">кого автономного округа – Югры </w:t>
      </w:r>
      <w:r w:rsidRPr="0056675C">
        <w:rPr>
          <w:rFonts w:ascii="Times New Roman" w:hAnsi="Times New Roman" w:cs="Times New Roman"/>
          <w:sz w:val="24"/>
          <w:szCs w:val="24"/>
        </w:rPr>
        <w:t>от 15.12.2022 N 673-п "О мерах по реализации государственной программы Ханты-Мансийского автономного округа - Югры "Пространственное развитие и формирование комфортной городской среды")</w:t>
      </w:r>
    </w:p>
    <w:p w:rsidR="00EC6D0B" w:rsidRPr="0056675C" w:rsidRDefault="00EC6D0B" w:rsidP="005667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 субсидии из бюджета автономного округа муниципальным образованиям определяется по формуле: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noProof/>
          <w:sz w:val="24"/>
          <w:szCs w:val="24"/>
          <w:lang w:eastAsia="ru-RU"/>
        </w:rPr>
        <w:drawing>
          <wp:inline distT="0" distB="0" distL="0" distR="0" wp14:anchorId="00A8BB4A" wp14:editId="6425C87E">
            <wp:extent cx="3421085" cy="107467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549903" name="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3421084" cy="1074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где: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Vобщ - субсидии для муниципальных образований, тыс. рублей;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Vi - размер субсидии, предоставляемый бюджету i-го муниципального образования, тыс. рублей;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Si - общая площадь многоквартирных домов i-го муниципального образования в соответствии с данными Территориального органа федеральной службы государственной статистики по Ханты-Мансийскому автономному округу - Югре;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Pi - численность постоянного населения i-го муниципального образования в соответствии с данными Территориального органа федеральной службы государственной статистики по автономному округу;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РБОi - уровень расчетной бюджетной обеспеченности для i-го муниципального образования;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софинансирования автономным округом мероприятий муниципальных программ (подпрограмм) формирования современной городской среды определяется в зависимости от уровня расчетной бюджетной обеспеченности.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расчетной бюджетной обеспеченности муниципальных районов и городских округов автономного округа определяет Департамент финансов автономного округа.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В зависимости от уровня расчетной бюджетной обеспеченности муниципальные образования делятся на 3 группы (за исключением Белоярского и Березовского районов) :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jc w:val="right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jc w:val="right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Style w:val="a9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975"/>
        <w:gridCol w:w="2535"/>
        <w:gridCol w:w="2715"/>
        <w:gridCol w:w="2790"/>
      </w:tblGrid>
      <w:tr w:rsidR="009C415D" w:rsidRPr="009C415D" w:rsidTr="00332E83"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25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расчетной бюджетной </w:t>
            </w: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обеспеченности</w:t>
            </w:r>
          </w:p>
        </w:tc>
        <w:tc>
          <w:tcPr>
            <w:tcW w:w="5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Уровень софинансирования, %</w:t>
            </w:r>
          </w:p>
        </w:tc>
      </w:tr>
      <w:tr w:rsidR="009C415D" w:rsidRPr="009C415D" w:rsidTr="00332E8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15D" w:rsidRPr="009C415D" w:rsidRDefault="009C415D" w:rsidP="00332E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15D" w:rsidRPr="009C415D" w:rsidRDefault="009C415D" w:rsidP="00332E83">
            <w:pPr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 автономного </w:t>
            </w: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Бюджет муниципального </w:t>
            </w: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 автономного округа</w:t>
            </w:r>
          </w:p>
        </w:tc>
      </w:tr>
      <w:tr w:rsidR="009C415D" w:rsidRPr="009C415D" w:rsidTr="00332E8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0,0 до 0,7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9C415D" w:rsidRPr="009C415D" w:rsidTr="00332E8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0,7 до 1,0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9C415D" w:rsidRPr="009C415D" w:rsidTr="00332E83">
        <w:trPr>
          <w:trHeight w:val="153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1,0 и выше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415D" w:rsidRPr="009C415D" w:rsidRDefault="009C415D" w:rsidP="00332E8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9C4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</w:tbl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софинансирования из бюджета автономного округа устанавливается от годового объема бюджетных обязательств на финансирование мероприятий муниципальных программ (подпрограмм) формирования современной городской среды не более 90% для 1 группы, 85% для 2 группы, 80% для 3 группы, 99 % для Белоярского и Березовского районов.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sz w:val="24"/>
          <w:szCs w:val="24"/>
        </w:rPr>
      </w:pPr>
      <w:r w:rsidRPr="009C415D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софинансирования мероприятий муниципальных программ (подпрограмм) формирования современной городской среды из бюджета муниципального образования автономного округа ежегодно должен составлять не менее 10% для 1 группы, 15% для 2 группы, 20% для 3 группы, 1 % для Белоярского и Березовского районов.</w:t>
      </w:r>
    </w:p>
    <w:p w:rsidR="009C415D" w:rsidRPr="009C415D" w:rsidRDefault="009C415D" w:rsidP="009C41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052DE" w:rsidRPr="009C415D" w:rsidRDefault="00D052DE" w:rsidP="009C415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052DE" w:rsidRPr="009C415D" w:rsidSect="0056675C">
      <w:headerReference w:type="default" r:id="rId7"/>
      <w:pgSz w:w="11906" w:h="16838"/>
      <w:pgMar w:top="1418" w:right="1276" w:bottom="1134" w:left="1559" w:header="425" w:footer="709" w:gutter="0"/>
      <w:pgNumType w:start="24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209" w:rsidRDefault="00656209" w:rsidP="00656209">
      <w:pPr>
        <w:spacing w:after="0" w:line="240" w:lineRule="auto"/>
      </w:pPr>
      <w:r>
        <w:separator/>
      </w:r>
    </w:p>
  </w:endnote>
  <w:endnote w:type="continuationSeparator" w:id="0">
    <w:p w:rsidR="00656209" w:rsidRDefault="00656209" w:rsidP="00656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209" w:rsidRDefault="00656209" w:rsidP="00656209">
      <w:pPr>
        <w:spacing w:after="0" w:line="240" w:lineRule="auto"/>
      </w:pPr>
      <w:r>
        <w:separator/>
      </w:r>
    </w:p>
  </w:footnote>
  <w:footnote w:type="continuationSeparator" w:id="0">
    <w:p w:rsidR="00656209" w:rsidRDefault="00656209" w:rsidP="00656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5"/>
      <w:gridCol w:w="3024"/>
      <w:gridCol w:w="3022"/>
    </w:tblGrid>
    <w:tr w:rsidR="00656209" w:rsidRPr="00656209">
      <w:trPr>
        <w:trHeight w:val="720"/>
      </w:trPr>
      <w:tc>
        <w:tcPr>
          <w:tcW w:w="1667" w:type="pct"/>
        </w:tcPr>
        <w:p w:rsidR="00656209" w:rsidRDefault="00656209">
          <w:pPr>
            <w:pStyle w:val="a5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:rsidR="00656209" w:rsidRDefault="00656209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656209" w:rsidRPr="00656209" w:rsidRDefault="00656209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</w:rPr>
          </w:pPr>
          <w:r w:rsidRPr="00656209">
            <w:rPr>
              <w:rFonts w:ascii="Times New Roman" w:hAnsi="Times New Roman" w:cs="Times New Roman"/>
            </w:rPr>
            <w:fldChar w:fldCharType="begin"/>
          </w:r>
          <w:r w:rsidRPr="00656209">
            <w:rPr>
              <w:rFonts w:ascii="Times New Roman" w:hAnsi="Times New Roman" w:cs="Times New Roman"/>
            </w:rPr>
            <w:instrText>PAGE   \* MERGEFORMAT</w:instrText>
          </w:r>
          <w:r w:rsidRPr="00656209">
            <w:rPr>
              <w:rFonts w:ascii="Times New Roman" w:hAnsi="Times New Roman" w:cs="Times New Roman"/>
            </w:rPr>
            <w:fldChar w:fldCharType="separate"/>
          </w:r>
          <w:r w:rsidR="009C415D">
            <w:rPr>
              <w:rFonts w:ascii="Times New Roman" w:hAnsi="Times New Roman" w:cs="Times New Roman"/>
              <w:noProof/>
            </w:rPr>
            <w:t>2483</w:t>
          </w:r>
          <w:r w:rsidRPr="00656209">
            <w:rPr>
              <w:rFonts w:ascii="Times New Roman" w:hAnsi="Times New Roman" w:cs="Times New Roman"/>
            </w:rPr>
            <w:fldChar w:fldCharType="end"/>
          </w:r>
        </w:p>
      </w:tc>
    </w:tr>
  </w:tbl>
  <w:p w:rsidR="00656209" w:rsidRDefault="006562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2DE"/>
    <w:rsid w:val="00475560"/>
    <w:rsid w:val="0056675C"/>
    <w:rsid w:val="005C24E4"/>
    <w:rsid w:val="00656209"/>
    <w:rsid w:val="007C5658"/>
    <w:rsid w:val="00942D2E"/>
    <w:rsid w:val="00972515"/>
    <w:rsid w:val="009C415D"/>
    <w:rsid w:val="00D052DE"/>
    <w:rsid w:val="00EC6D0B"/>
    <w:rsid w:val="00FE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B824E3A-87CC-45AE-A7CF-3EDAAFB19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52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052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5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2D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56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6209"/>
  </w:style>
  <w:style w:type="paragraph" w:styleId="a7">
    <w:name w:val="footer"/>
    <w:basedOn w:val="a"/>
    <w:link w:val="a8"/>
    <w:uiPriority w:val="99"/>
    <w:unhideWhenUsed/>
    <w:rsid w:val="00656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6209"/>
  </w:style>
  <w:style w:type="table" w:styleId="a9">
    <w:name w:val="Table Grid"/>
    <w:basedOn w:val="a1"/>
    <w:uiPriority w:val="59"/>
    <w:rsid w:val="009C415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Пучкова Оксана Феофановна</dc:creator>
  <cp:lastModifiedBy>Собянина Юлия Александровна</cp:lastModifiedBy>
  <cp:revision>8</cp:revision>
  <dcterms:created xsi:type="dcterms:W3CDTF">2023-08-30T12:25:00Z</dcterms:created>
  <dcterms:modified xsi:type="dcterms:W3CDTF">2025-10-17T13:22:00Z</dcterms:modified>
</cp:coreProperties>
</file>